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5"/>
        <w:tblW w:w="5238" w:type="pct"/>
        <w:tblInd w:w="-157" w:type="dxa"/>
        <w:tblLook w:val="04A0" w:firstRow="1" w:lastRow="0" w:firstColumn="1" w:lastColumn="0" w:noHBand="0" w:noVBand="1"/>
      </w:tblPr>
      <w:tblGrid>
        <w:gridCol w:w="454"/>
        <w:gridCol w:w="395"/>
        <w:gridCol w:w="3831"/>
        <w:gridCol w:w="5385"/>
      </w:tblGrid>
      <w:tr w:rsidR="00C06C30" w:rsidRPr="00170FFD" w14:paraId="01F4DF4E" w14:textId="77777777" w:rsidTr="00DF2BE0">
        <w:trPr>
          <w:trHeight w:val="247"/>
        </w:trPr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14:paraId="54887676" w14:textId="77777777" w:rsidR="0020069C" w:rsidRPr="00170FFD" w:rsidRDefault="00C06C30" w:rsidP="00C06C30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_Hlk137732922"/>
            <w:bookmarkStart w:id="1" w:name="RANGE!A1:H45"/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Унитарная некоммерческая организация </w:t>
            </w:r>
          </w:p>
          <w:p w14:paraId="24C3ADF2" w14:textId="7EF9E9BA" w:rsidR="00C06C30" w:rsidRPr="00170FFD" w:rsidRDefault="00C06C30" w:rsidP="00C06C30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«Фонд развития бизнеса Краснодарского края»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bookmarkEnd w:id="1"/>
            <w:r w:rsidRPr="00170FFD">
              <w:rPr>
                <w:rFonts w:ascii="Times New Roman" w:eastAsia="Calibri" w:hAnsi="Times New Roman"/>
                <w:b/>
                <w:bCs/>
                <w:spacing w:val="40"/>
                <w:sz w:val="20"/>
                <w:szCs w:val="20"/>
              </w:rPr>
              <w:t>ИНЖИНИРИНГОВЫЙ ЦЕНТР</w:t>
            </w:r>
          </w:p>
        </w:tc>
      </w:tr>
      <w:tr w:rsidR="00C06C30" w:rsidRPr="00170FFD" w14:paraId="2581DCE9" w14:textId="77777777" w:rsidTr="00DF2BE0"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4B182D4A" w14:textId="77777777" w:rsidR="002F33F5" w:rsidRPr="00170FFD" w:rsidRDefault="00C06C30" w:rsidP="002F33F5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СОГЛАШЕНИЕ-АНКЕТА ПОТРЕБИТЕЛЯ УСЛУГ ИЦ </w:t>
            </w:r>
            <w:r w:rsidR="001A62C6"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— </w:t>
            </w: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СУБЪЕКТА МАЛОГО И СРЕДНЕГО ПРЕДПРИНИМАТЕЛЬСТВА КРАСНОДАРСКОГО КРАЯ</w:t>
            </w:r>
            <w:r w:rsidR="002F33F5"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43E4FA2" w14:textId="7918E50D" w:rsidR="00C06C30" w:rsidRPr="00170FFD" w:rsidRDefault="00C06C30" w:rsidP="002F33F5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(далее – СМСП)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C06C30" w:rsidRPr="00170FFD" w14:paraId="03F15067" w14:textId="77777777" w:rsidTr="00DF2BE0"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2048F12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После внесения потребителем услуг ИЦ всех необходимых данных, настоящее Соглашение-анкета является документом, подтверждающим запрос заявителя (потребителя услуг ИЦ) на получение государственной поддержки, направленной на содействие развитию СМСП в Краснодарском крае посредством Инжинирингового центра Фонда развития бизнеса Краснодарского края (далее, соответственно – ИЦ, Фонд), в том числе с привлечением партнеров ИЦ. Перечень услуг, сроки оказания и условия оказания конкретной услуги определяются в соответствии с Договором присоединения, протоколом согласования цены и Стандартом оказания услуг ИЦ, размещенными в соответствующем разделе ИЦ на сайте Фонда. По требованию потребителя услуг ИЦ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C06C30" w:rsidRPr="00170FFD" w14:paraId="1165EA96" w14:textId="77777777" w:rsidTr="00DF2BE0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A62F00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C06C30" w:rsidRPr="00170FFD" w14:paraId="3AB27BFC" w14:textId="77777777" w:rsidTr="00DF2BE0">
        <w:trPr>
          <w:trHeight w:val="310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hideMark/>
          </w:tcPr>
          <w:p w14:paraId="0DE52DA6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Дата обращения: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14F2C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1C432BBB" w14:textId="77777777" w:rsidTr="00DF2BE0">
        <w:trPr>
          <w:trHeight w:val="310"/>
        </w:trPr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6C4B3528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1. Категория Потребителя</w:t>
            </w:r>
          </w:p>
        </w:tc>
      </w:tr>
      <w:tr w:rsidR="00C06C30" w:rsidRPr="00170FFD" w14:paraId="54A4B422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1637F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 индивидуальный предприниматель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282F2A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 юридическое лицо</w:t>
            </w:r>
          </w:p>
        </w:tc>
      </w:tr>
      <w:tr w:rsidR="00C06C30" w:rsidRPr="00170FFD" w14:paraId="758C3E07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4D9F5BA9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2. Информация о Потребителе</w:t>
            </w:r>
          </w:p>
        </w:tc>
      </w:tr>
      <w:tr w:rsidR="00C06C30" w:rsidRPr="00170FFD" w14:paraId="759A8D60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34985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Полное наименование СМСП с указанием организационно-правовой формы: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C61183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49D83C6C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2EA452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ИНН: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2962AEC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35FA37C3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55A18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Основной ОКВЭД (номер, расшифровка):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2BE34B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1AA7B85A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3A0C6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Фактический вид деятельности: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CFAC014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5F1325" w:rsidRPr="00170FFD" w14:paraId="6310A509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641710" w14:textId="1366C4D1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Краткий перечень производимых товаров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09D59DBA" w14:textId="77777777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5F1325" w:rsidRPr="00170FFD" w14:paraId="28715DD8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E57AA5" w14:textId="3B8875A0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сайта в сети «Интернет»/ ссылка на соц. сети, разрешенные в РФ/ ссылка на маркетплейсы, на которых представлена продукция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79EF6DC" w14:textId="77777777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1F9FF5AF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581C8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Относится к вновь созданному юридическому лицу или вновь зарегистрированному индивидуальному предпринимателю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24C2E7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да/нет</w:t>
            </w:r>
          </w:p>
        </w:tc>
      </w:tr>
      <w:tr w:rsidR="00C06C30" w:rsidRPr="00170FFD" w14:paraId="7E6AEC4A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0FB9C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Наличие знака качества «Сделано на Кубани»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8E182FC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да/нет</w:t>
            </w:r>
          </w:p>
        </w:tc>
      </w:tr>
      <w:tr w:rsidR="00C06C30" w:rsidRPr="00170FFD" w14:paraId="65DCE4C1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F7BEB4" w14:textId="2E04AEA5" w:rsidR="00C06C30" w:rsidRPr="00170FFD" w:rsidRDefault="00982F2C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Наличие патента/ полезной модели/ иной документ на производимую продукцию</w:t>
            </w:r>
            <w:r w:rsidR="00C06C30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C06C30"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495BE7E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да/нет</w:t>
            </w:r>
          </w:p>
        </w:tc>
      </w:tr>
      <w:tr w:rsidR="00C06C30" w:rsidRPr="00170FFD" w14:paraId="6203FBAA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40BDC4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Должность и Ф.И.О. руководителя СМСП </w:t>
            </w:r>
          </w:p>
          <w:p w14:paraId="5CBCF97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(без сокращений, в соответствии с выпиской из госреестра)</w:t>
            </w:r>
          </w:p>
          <w:p w14:paraId="58BC493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паспортные данные:</w:t>
            </w:r>
          </w:p>
          <w:p w14:paraId="4A509E4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серия, номер</w:t>
            </w:r>
          </w:p>
          <w:p w14:paraId="11D54D49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кем, когда выдан</w:t>
            </w:r>
          </w:p>
          <w:p w14:paraId="3F02992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1BB1AE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65DC8E06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A8A3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В случае если от лица СМСП за руководителя расписывается уполномоченное соответствующей доверенностью лицо: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  <w:p w14:paraId="53F62C1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Ф.И.О. лица, действующего по доверенности (без сокращений),</w:t>
            </w:r>
          </w:p>
          <w:p w14:paraId="26053CD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паспортные данные:</w:t>
            </w:r>
          </w:p>
          <w:p w14:paraId="31FC4546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серия, номер</w:t>
            </w:r>
          </w:p>
          <w:p w14:paraId="35FA4C3F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кем, когда выдан</w:t>
            </w:r>
          </w:p>
          <w:p w14:paraId="5E4BE11B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адрес регистрации </w:t>
            </w:r>
          </w:p>
          <w:p w14:paraId="2007A8F2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реквизиты доверенности или иного документа, подтверждающего полномочия этого представителя: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0E9011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284585D8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C5D76F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FE67C9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6B9CF5FE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2C67AB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891C77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6E8EC110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ABE56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trike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регистрации (в соответствии с выпиской из госреестра):</w:t>
            </w:r>
          </w:p>
          <w:p w14:paraId="5B8B4181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(субъект РФ, район (муниципальное образование), населенный пункт (город, станица, поселок и др.), улица, дом, квартира (офис)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085CE375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2FBC7871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91808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Фактический адрес нахождения производства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(район (муниципальное образование), населенный пункт (город, станица, поселок и др.), улица, дом, квартира (офис))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9FD268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579B521A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538B97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Организационно-штатная структура предприятия </w:t>
            </w:r>
          </w:p>
          <w:p w14:paraId="0C1F0B62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 указанием:</w:t>
            </w:r>
          </w:p>
          <w:p w14:paraId="1E0454D1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1. общей численности сотрудников: </w:t>
            </w:r>
          </w:p>
          <w:p w14:paraId="2736A1D4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2. количество сотрудников, занятых в производстве: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EB1BE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63426AE6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A984C9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Наличие недвижимого имущества (помещения, здания, сооружения, земельного участка)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E580EF4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 Да, в аренде/ Нет</w:t>
            </w:r>
          </w:p>
        </w:tc>
      </w:tr>
      <w:tr w:rsidR="00C06C30" w:rsidRPr="00170FFD" w14:paraId="2E609B9B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0BE59B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Наличие оборудования и (или) автомоторного парка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1741BF1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 Да, в аренде/ Нет</w:t>
            </w:r>
          </w:p>
        </w:tc>
      </w:tr>
      <w:tr w:rsidR="00C06C30" w:rsidRPr="00170FFD" w14:paraId="0F230FD2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822A5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Суть производственной проблемы (цель получения услуги):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E85D402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21A67C7B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2B385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Если есть предпочтения в выборе Партнера ИЦ, указать его наименование: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4DD30E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129881B2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023D99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Откуда Вы узнали о деятельности ИЦ: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001DD6D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3F02321D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7FB4327F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3. Общая информация</w:t>
            </w:r>
          </w:p>
        </w:tc>
      </w:tr>
      <w:tr w:rsidR="00C06C30" w:rsidRPr="00170FFD" w14:paraId="64CE1082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24965A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Услуги ИЦ для СМСП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– отметить требуемые и указать тему обращения, где необходимо:</w:t>
            </w:r>
          </w:p>
        </w:tc>
      </w:tr>
      <w:tr w:rsidR="00C06C30" w:rsidRPr="00170FFD" w14:paraId="444BAAD4" w14:textId="77777777" w:rsidTr="00DF2BE0">
        <w:trPr>
          <w:trHeight w:val="51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05C3EB1" w14:textId="3D258A4B" w:rsidR="00C06C30" w:rsidRPr="00170FFD" w:rsidRDefault="00C06C30" w:rsidP="00C06C30">
            <w:pPr>
              <w:suppressAutoHyphens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Запрашиваемые виды услуг (в соответствии с </w:t>
            </w:r>
            <w:r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Приказом Министерства экономического развития РФ от 26 марта 2021 г. № 142</w:t>
            </w:r>
            <w:r w:rsidR="00A267FC"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0A157C"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Приказом Министерства экономического развития Российской Федерации </w:t>
            </w:r>
            <w:r w:rsidR="00B82BFF"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от 27 марта 2025 г. № 195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) – 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отметить необходимые</w:t>
            </w:r>
          </w:p>
          <w:p w14:paraId="7DDDE29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</w:rPr>
              <w:t>Конкретный перечень услуг, на которые Фонду выделены средства субсидии, на дату заполнения Потребителем Заявления (запроса), просьба, уточнять у сотрудников инжинирингового центра Фонда.</w:t>
            </w:r>
          </w:p>
        </w:tc>
      </w:tr>
      <w:tr w:rsidR="00C06C30" w:rsidRPr="00170FFD" w14:paraId="6CBDBE6B" w14:textId="77777777" w:rsidTr="00DF2BE0">
        <w:trPr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1B5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6AFAE48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проведение технических аудитов, включая проведение необходимых испытаний и оценок соответствия (технологического, энергетического, экологического), специальной оценки условий труда и других видов аудита производства;</w:t>
            </w:r>
          </w:p>
        </w:tc>
      </w:tr>
      <w:tr w:rsidR="00C06C30" w:rsidRPr="00170FFD" w14:paraId="2BB12AB5" w14:textId="77777777" w:rsidTr="00DF2BE0">
        <w:trPr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0CE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BDEC179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проведение финансового или управленческого аудита;</w:t>
            </w:r>
          </w:p>
        </w:tc>
      </w:tr>
      <w:tr w:rsidR="00C06C30" w:rsidRPr="00170FFD" w14:paraId="3F6C1EE5" w14:textId="77777777" w:rsidTr="00DF2BE0">
        <w:trPr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552D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9E7DF3E" w14:textId="59ECC106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технических решений (проектов, планов) 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и оказание содействия в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вопроса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х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технического управления производством, снижения себестоимости производственных процессов</w:t>
            </w:r>
            <w:r w:rsidR="00F24057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и/или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проектов, проведения измерений и испытаний, монтажных и пусконаладочных работ, эксплуатации оборудования, обучения персонала, оптимизации технологических процессов, проектного управления и </w:t>
            </w:r>
            <w:r w:rsidR="00F24057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консультирование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в области организации и развития производства;</w:t>
            </w:r>
          </w:p>
        </w:tc>
      </w:tr>
      <w:tr w:rsidR="00C06C30" w:rsidRPr="00170FFD" w14:paraId="66CFE8A2" w14:textId="77777777" w:rsidTr="00DF2BE0">
        <w:trPr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7CC0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A7A099E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разработка технических решений (проектов, планов) по внедрению цифровизации производственных процессов на предприятиях;</w:t>
            </w:r>
          </w:p>
        </w:tc>
      </w:tr>
      <w:tr w:rsidR="00C06C30" w:rsidRPr="00170FFD" w14:paraId="440D9DA4" w14:textId="77777777" w:rsidTr="00DF2BE0">
        <w:trPr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C80D1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D86B654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содействие в получении маркетинговых услуг, услуг по позиционированию и продвижению новых видов продукции (товаров, услуг) на российском и международном рынках;</w:t>
            </w:r>
          </w:p>
        </w:tc>
      </w:tr>
      <w:tr w:rsidR="00C06C30" w:rsidRPr="00170FFD" w14:paraId="377FF7AA" w14:textId="77777777" w:rsidTr="00DF2BE0">
        <w:trPr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05F3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8EAEC82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содействие в разработке программ модернизации, технического перевооружения и (или) развития производства;</w:t>
            </w:r>
          </w:p>
        </w:tc>
      </w:tr>
      <w:tr w:rsidR="00C06C30" w:rsidRPr="00170FFD" w14:paraId="77F7A431" w14:textId="77777777" w:rsidTr="00DF2BE0">
        <w:trPr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16B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F6C4748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разработка бизнес-планов, технических заданий, технико-экономических обоснований;</w:t>
            </w:r>
          </w:p>
        </w:tc>
      </w:tr>
      <w:tr w:rsidR="00C06C30" w:rsidRPr="00170FFD" w14:paraId="41C80A5F" w14:textId="77777777" w:rsidTr="00DF2BE0">
        <w:trPr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A375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63B08A9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заказчиков;</w:t>
            </w:r>
          </w:p>
        </w:tc>
      </w:tr>
      <w:tr w:rsidR="00FA5B5B" w:rsidRPr="00170FFD" w14:paraId="3B8889D9" w14:textId="77777777" w:rsidTr="00DF2BE0">
        <w:trPr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0929" w14:textId="77777777" w:rsidR="00FA5B5B" w:rsidRPr="00170FFD" w:rsidRDefault="00FA5B5B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4421AD0" w14:textId="77777777" w:rsidR="00B82BFF" w:rsidRPr="00170FFD" w:rsidRDefault="00B82BFF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Консультирование об услугах ИЦ в том числе в формате семинара, вебинара, круглого стола </w:t>
            </w:r>
          </w:p>
          <w:p w14:paraId="2D8F61CD" w14:textId="3DFE6A55" w:rsidR="00FA5B5B" w:rsidRPr="00170FFD" w:rsidRDefault="00FA5B5B" w:rsidP="00B960D2">
            <w:pPr>
              <w:pBdr>
                <w:bottom w:val="single" w:sz="12" w:space="1" w:color="auto"/>
              </w:pBd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Вид, дата, место и тема мероприятия:</w:t>
            </w:r>
          </w:p>
          <w:p w14:paraId="5A38B0F4" w14:textId="77777777" w:rsidR="003C3506" w:rsidRPr="00170FFD" w:rsidRDefault="003C3506" w:rsidP="00B960D2">
            <w:pPr>
              <w:pBdr>
                <w:bottom w:val="single" w:sz="12" w:space="1" w:color="auto"/>
              </w:pBd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73FA15" w14:textId="77777777" w:rsidR="003C3506" w:rsidRPr="00170FFD" w:rsidRDefault="003C3506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964FC54" w14:textId="2CC8D262" w:rsidR="00B82BFF" w:rsidRPr="00170FFD" w:rsidRDefault="00B82BFF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Представитель СМСП, принимающий участие в мероприятии (должность</w:t>
            </w:r>
            <w:r w:rsidR="00DF2BE0">
              <w:rPr>
                <w:rFonts w:ascii="Times New Roman" w:eastAsia="Calibri" w:hAnsi="Times New Roman"/>
                <w:sz w:val="20"/>
                <w:szCs w:val="20"/>
              </w:rPr>
              <w:t xml:space="preserve"> сотрудника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14:paraId="2B40F2EE" w14:textId="7ECAE532" w:rsidR="00B82BFF" w:rsidRPr="00170FFD" w:rsidRDefault="00B82BFF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________________________________</w:t>
            </w:r>
            <w:r w:rsidR="003C3506" w:rsidRPr="00170FFD">
              <w:rPr>
                <w:rFonts w:ascii="Times New Roman" w:eastAsia="Calibri" w:hAnsi="Times New Roman"/>
                <w:sz w:val="20"/>
                <w:szCs w:val="20"/>
              </w:rPr>
              <w:t>___________________________________________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__</w:t>
            </w:r>
          </w:p>
          <w:p w14:paraId="18F64A2E" w14:textId="1153DD60" w:rsidR="00B960D2" w:rsidRPr="00170FFD" w:rsidDel="00724D5D" w:rsidRDefault="00B960D2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44E212EA" w14:textId="77777777" w:rsidTr="00DF2BE0">
        <w:tc>
          <w:tcPr>
            <w:tcW w:w="226" w:type="pct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60761E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4448D0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Комплексные услуги:</w:t>
            </w:r>
          </w:p>
        </w:tc>
      </w:tr>
      <w:tr w:rsidR="00C06C30" w:rsidRPr="00170FFD" w14:paraId="6DB1AF9F" w14:textId="77777777" w:rsidTr="00426F1A">
        <w:tc>
          <w:tcPr>
            <w:tcW w:w="226" w:type="pct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99DB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548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D6097F0" w14:textId="30E47B28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Комплексная услуга №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1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консультирование об услугах ИЦ по результатам проведения 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содействие в разработке программ модернизации, технического перевооружения и (или) развития производства);</w:t>
            </w:r>
          </w:p>
        </w:tc>
      </w:tr>
      <w:tr w:rsidR="00C06C30" w:rsidRPr="00170FFD" w14:paraId="02F1736F" w14:textId="77777777" w:rsidTr="00426F1A">
        <w:tc>
          <w:tcPr>
            <w:tcW w:w="226" w:type="pct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48767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B3B15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3D66519" w14:textId="3F7484C7" w:rsidR="00C06C30" w:rsidRPr="00170FFD" w:rsidRDefault="00C06C30" w:rsidP="00C06C30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Комплексная услуга №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  <w:r w:rsidR="003C3506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консультирование об услугах ИЦ по результатам проведения 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проведение финансового или управленческого аудита);</w:t>
            </w:r>
          </w:p>
        </w:tc>
      </w:tr>
      <w:tr w:rsidR="00C06C30" w:rsidRPr="00170FFD" w14:paraId="4E601B51" w14:textId="77777777" w:rsidTr="00426F1A">
        <w:tc>
          <w:tcPr>
            <w:tcW w:w="226" w:type="pct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62CD7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2DA79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5941E6C" w14:textId="21B1AEE5" w:rsidR="00C06C30" w:rsidRPr="00170FFD" w:rsidRDefault="00C06C30" w:rsidP="00C06C30">
            <w:pPr>
              <w:suppressAutoHyphens/>
              <w:spacing w:after="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Комплексная услуга №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3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предпринимательства; консультирование об услугах ИЦ по результатам проведения 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проведение технических аудитов, включая проведение необходимых испытаний и оценок соответствия);</w:t>
            </w:r>
          </w:p>
        </w:tc>
      </w:tr>
      <w:tr w:rsidR="00C06C30" w:rsidRPr="00170FFD" w14:paraId="755E11B3" w14:textId="77777777" w:rsidTr="00426F1A">
        <w:trPr>
          <w:trHeight w:val="1537"/>
        </w:trPr>
        <w:tc>
          <w:tcPr>
            <w:tcW w:w="226" w:type="pct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4E13E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1FA2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426F3A6" w14:textId="583A4F4F" w:rsidR="00C06C30" w:rsidRPr="00170FFD" w:rsidRDefault="00C06C30" w:rsidP="00C06C30">
            <w:pPr>
              <w:suppressAutoHyphens/>
              <w:spacing w:after="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Комплексная услуга №</w:t>
            </w:r>
            <w:r w:rsidR="003C3506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4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субъекта малого и среднего предпринимательства; консультирование об услугах ИЦ по результатам проведения 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заказчиков).</w:t>
            </w:r>
          </w:p>
        </w:tc>
      </w:tr>
      <w:tr w:rsidR="00C06C30" w:rsidRPr="00170FFD" w14:paraId="4BF09E2B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  <w:hideMark/>
          </w:tcPr>
          <w:p w14:paraId="7344D62A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На получение информационных сообщений об услугах ИЦ, в том числе оказываемых с привлечением Партнеров ИЦ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  <w:hideMark/>
          </w:tcPr>
          <w:p w14:paraId="32D90DBB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Информационные сообщения прошу присылать на (заполняется в случае согласия на информирование)</w:t>
            </w:r>
          </w:p>
        </w:tc>
      </w:tr>
      <w:tr w:rsidR="00C06C30" w:rsidRPr="00170FFD" w14:paraId="563544EA" w14:textId="77777777" w:rsidTr="00DF2BE0"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8F0AC4A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 согласен □ не согласен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</w:tcPr>
          <w:p w14:paraId="740E7676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□ указанный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t>email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  <w:p w14:paraId="69E37610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</w:t>
            </w:r>
            <w:r w:rsidRPr="00170FFD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указанный телефон</w:t>
            </w:r>
          </w:p>
        </w:tc>
      </w:tr>
      <w:tr w:rsidR="00C06C30" w:rsidRPr="00170FFD" w14:paraId="22388A65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4A19D92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№4 настоящего Соглашения-анкеты:</w:t>
            </w:r>
          </w:p>
          <w:p w14:paraId="5726DEB4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- подтверждает запрос на получение услуги ИЦ для СМСП;</w:t>
            </w:r>
          </w:p>
          <w:p w14:paraId="093A721D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- подтверждает ознакомление со Стандартом и свое согласие на получение услуг на условиях, предусмотренных указанным Стандартом</w:t>
            </w:r>
          </w:p>
        </w:tc>
      </w:tr>
      <w:tr w:rsidR="00C06C30" w:rsidRPr="00170FFD" w14:paraId="070818E4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E21FF95" w14:textId="7CF1E98E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В соответствии с требованиями ст.9 Федерального закона от 27.07.2006 г. № 152-ФЗ «О персональных данных», в целях получения государственной поддержки, лица (руководитель и представитель СМСП), указанные в настоящем Соглашении-анкете, своей подписью в разделе №4 настоящего Соглашения-анкеты подтверждают свое согласие на обработку персональных данных, в частности: фамилию, имя, отчество, 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адрес регистрации,</w:t>
            </w:r>
            <w:r w:rsidR="00025AD6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фактический адрес,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паспортные данные</w:t>
            </w:r>
            <w:r w:rsidR="00025AD6" w:rsidRPr="00170FFD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контактный телефон, адрес электронной почты. Настоящее согласие предоставляется на осуществление </w:t>
            </w:r>
            <w:r w:rsidR="00025AD6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следующих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 либо до даты подачи письменного заявления об отзыве настоящего согласия.</w:t>
            </w:r>
          </w:p>
          <w:p w14:paraId="2956EE7E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Оператор, получающий настоящее согласие: Унитарная некоммерческая организация «Фонд развития бизнеса Краснодарского края», зарегистрирован по адресу: г. Краснодар, ул. Трамвайная, д. 2/6.</w:t>
            </w:r>
          </w:p>
        </w:tc>
      </w:tr>
      <w:tr w:rsidR="00C06C30" w:rsidRPr="00170FFD" w14:paraId="5642EA39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CAF9062" w14:textId="16DB3435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Руководитель СМСП (уполномоченный представитель СМСП), указанный в разделе 2 настоящего Соглашения-анкеты, своей подписью в разделе №4 настоящего Соглашения-анкеты подтверждает,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Федерации», обратившийся СМСП не признан </w:t>
            </w:r>
            <w:r w:rsidR="00D61ED0" w:rsidRPr="00170FFD">
              <w:rPr>
                <w:rFonts w:ascii="Times New Roman" w:eastAsia="Calibri" w:hAnsi="Times New Roman"/>
                <w:sz w:val="20"/>
                <w:szCs w:val="20"/>
              </w:rPr>
              <w:t>совершившим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нарушение порядка и условий оказания поддержки </w:t>
            </w:r>
            <w:r w:rsidR="005316F4" w:rsidRPr="00170FFD">
              <w:rPr>
                <w:rFonts w:ascii="Times New Roman" w:eastAsia="Calibri" w:hAnsi="Times New Roman"/>
                <w:sz w:val="20"/>
                <w:szCs w:val="20"/>
              </w:rPr>
              <w:t>в течение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одного года, 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предшествующих обращению, 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>. Также, руководитель СМСП (уполномоченный представитель СМСП), указанный в разделе 2 настоящего Соглашения-анкеты</w:t>
            </w:r>
            <w:r w:rsidR="00D61ED0" w:rsidRPr="00170FFD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своей подписью в разделе №4 настоящего Соглашения-анкеты подтверждает, что в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>прошло более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трех лет. Положения, предусмотренные настоящим пунктом, распространяются на виды поддержки, в отношении которых выявлены нарушения субъектом малого или среднего предпринимательства порядка и условий оказания поддержки.</w:t>
            </w:r>
          </w:p>
        </w:tc>
      </w:tr>
      <w:tr w:rsidR="00C06C30" w:rsidRPr="00170FFD" w14:paraId="58C55B1B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1572B25" w14:textId="11F1FFE8" w:rsidR="00025AD6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Руководитель СМСП (уполномоченный представитель СМСП), указанный в разделе 2 настоящего Соглашения-анкеты, своей подписью в разделе №4 настоящего Соглашения-анкеты подтверждает соответствие обратившегося за получением консультационных услуг СМСП,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СМСП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  <w:p w14:paraId="602078C1" w14:textId="77777777" w:rsidR="00B960D2" w:rsidRPr="00170FFD" w:rsidRDefault="00B960D2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5673051E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44F03B" w14:textId="0D8720D5" w:rsidR="00C06C30" w:rsidRPr="00170FFD" w:rsidRDefault="00C06C30" w:rsidP="00C06C3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Потребитель подтверждает, что:</w:t>
            </w:r>
          </w:p>
          <w:p w14:paraId="3DC0BD9B" w14:textId="77777777" w:rsidR="00C06C30" w:rsidRPr="00170FFD" w:rsidRDefault="00C06C30" w:rsidP="00C06C3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вся информация, содержащаяся в настоящем Заявлении, является подлинной и дает согласие на доступ к ней Партнёров Фонда, привлеченных в целях оказания Потребителю соответствующей Услуги;</w:t>
            </w:r>
          </w:p>
          <w:p w14:paraId="2636C9AA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- несет ответственность за достоверность информации и сведений, представляемых в Фонд;</w:t>
            </w:r>
          </w:p>
          <w:p w14:paraId="1EE336E2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 xml:space="preserve">- соответствует следующим требованиям: </w:t>
            </w:r>
          </w:p>
          <w:p w14:paraId="0DBD3174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зарегистрирован в установленном порядке на территории Краснодарского края в качестве юридического лица или индивидуального предпринимателя,</w:t>
            </w:r>
          </w:p>
          <w:p w14:paraId="2E1EEF35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включен в Единый реестр субъектов малого и среднего предпринимательства в качестве субъекта малого или среднего предпринимательства,</w:t>
            </w:r>
          </w:p>
          <w:p w14:paraId="73CB8357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 xml:space="preserve">не находится в стадии реорганизации, ликвидации или банкротства, </w:t>
            </w:r>
          </w:p>
          <w:p w14:paraId="617A9E8F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ломбардом,</w:t>
            </w:r>
          </w:p>
          <w:p w14:paraId="3821BAD4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является участником соглашений о разделе продукции,</w:t>
            </w:r>
          </w:p>
          <w:p w14:paraId="0109198E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осуществляет предпринимательскую деятельность в сфере игорного бизнеса,</w:t>
            </w:r>
          </w:p>
          <w:p w14:paraId="55261B73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Федерации,</w:t>
            </w:r>
          </w:p>
          <w:p w14:paraId="31F7F3D4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ранее в отношении Заявителя не было принято решения об оказании аналогичной поддержки (поддержки, условия оказания которой совпадают, включая форму, вид поддержки и цели ее оказания) или сроки ее оказания истекли;</w:t>
            </w:r>
          </w:p>
          <w:p w14:paraId="1051E449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- ознакомлен и выражает безоговорочное согласие выполнять условия договора присоединения;</w:t>
            </w:r>
          </w:p>
          <w:p w14:paraId="30AF76F3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- уведомлен о том, что Услуга предоставляется Потребителю на условиях частичного софинансирования. При этом следует учитывать, что Услуга, полученная</w:t>
            </w:r>
            <w:r w:rsidRPr="00170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 условиях софинансирования со стороны Фонда, может быть признана внереализационным доходом Потребителя (ст. 248, ст. 250 Налогового кодекса РФ), в связи с чем у Потребителя </w:t>
            </w:r>
            <w:r w:rsidRPr="00170FFD">
              <w:rPr>
                <w:rFonts w:ascii="Times New Roman" w:hAnsi="Times New Roman"/>
                <w:sz w:val="20"/>
                <w:szCs w:val="20"/>
              </w:rPr>
              <w:t>может возникнуть обязательство по уплате налога.</w:t>
            </w:r>
          </w:p>
        </w:tc>
      </w:tr>
      <w:tr w:rsidR="00C06C30" w:rsidRPr="00170FFD" w14:paraId="037117B8" w14:textId="77777777" w:rsidTr="00DF2BE0"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15983C9F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4. Подписи уполномоченных лиц заявителя</w:t>
            </w:r>
          </w:p>
          <w:p w14:paraId="0C5A68BF" w14:textId="6EA6968A" w:rsidR="00C06C30" w:rsidRPr="00170FFD" w:rsidRDefault="00C06C30" w:rsidP="0001030D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Без подписи руководителя СМСП или лица, действующего по доверенности от лица СМСП, Соглашение-анкета не является документом, подтверждающим запрос заявителя! Услуга оказана быть не может!</w:t>
            </w:r>
          </w:p>
        </w:tc>
      </w:tr>
      <w:tr w:rsidR="005F1325" w:rsidRPr="00170FFD" w14:paraId="517474F7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10ECE88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Руководитель СМСП или лицо, 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  <w:t>действующее по доверенности от лица СМСП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(поле обязательно для заполнения)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br/>
            </w:r>
          </w:p>
          <w:p w14:paraId="20160E7A" w14:textId="77777777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9361459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__________________________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(наименование должности)</w:t>
            </w:r>
          </w:p>
          <w:p w14:paraId="7AB74C62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__________________________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(личная подпись)</w:t>
            </w:r>
          </w:p>
          <w:p w14:paraId="64FA3254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__________________________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(ФИО)</w:t>
            </w:r>
          </w:p>
          <w:p w14:paraId="22527C3A" w14:textId="0822987B" w:rsidR="005F1325" w:rsidRPr="00170FFD" w:rsidRDefault="005F1325" w:rsidP="00EF2C41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*</w:t>
            </w:r>
          </w:p>
        </w:tc>
      </w:tr>
      <w:tr w:rsidR="00C06C30" w:rsidRPr="00170FFD" w14:paraId="7B5B4A4B" w14:textId="77777777" w:rsidTr="00DF2BE0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BB814E6" w14:textId="373456D5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*В случае если СМСП в своей деятельности использует печать, проставление оттиска печати обязательно</w:t>
            </w:r>
            <w:r w:rsidR="0013300A" w:rsidRPr="00170FFD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14:paraId="6006AE58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bookmarkEnd w:id="0"/>
    </w:tbl>
    <w:p w14:paraId="721AFD1C" w14:textId="77777777" w:rsidR="00C06C30" w:rsidRPr="00BD7DF3" w:rsidRDefault="00C06C30" w:rsidP="00383E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C06C30" w:rsidRPr="00BD7DF3" w:rsidSect="00BF5EB9">
      <w:pgSz w:w="11906" w:h="16838" w:code="9"/>
      <w:pgMar w:top="992" w:right="567" w:bottom="709" w:left="1701" w:header="567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5FF0"/>
    <w:multiLevelType w:val="hybridMultilevel"/>
    <w:tmpl w:val="69461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D953B6"/>
    <w:multiLevelType w:val="multilevel"/>
    <w:tmpl w:val="843C6CEA"/>
    <w:lvl w:ilvl="0">
      <w:start w:val="1"/>
      <w:numFmt w:val="decimal"/>
      <w:suff w:val="space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num w:numId="1" w16cid:durableId="1024745275">
    <w:abstractNumId w:val="1"/>
  </w:num>
  <w:num w:numId="2" w16cid:durableId="18785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D8"/>
    <w:rsid w:val="0001030D"/>
    <w:rsid w:val="00025AD6"/>
    <w:rsid w:val="000350A5"/>
    <w:rsid w:val="00062246"/>
    <w:rsid w:val="000A157C"/>
    <w:rsid w:val="000A281F"/>
    <w:rsid w:val="000D7391"/>
    <w:rsid w:val="00113D19"/>
    <w:rsid w:val="00120378"/>
    <w:rsid w:val="00124438"/>
    <w:rsid w:val="001260BA"/>
    <w:rsid w:val="0013300A"/>
    <w:rsid w:val="00134F8E"/>
    <w:rsid w:val="00170FFD"/>
    <w:rsid w:val="001717C3"/>
    <w:rsid w:val="001A62C6"/>
    <w:rsid w:val="001F5966"/>
    <w:rsid w:val="0020025F"/>
    <w:rsid w:val="0020069C"/>
    <w:rsid w:val="002208F5"/>
    <w:rsid w:val="002907AD"/>
    <w:rsid w:val="00292414"/>
    <w:rsid w:val="0029431F"/>
    <w:rsid w:val="002A2F13"/>
    <w:rsid w:val="002D0966"/>
    <w:rsid w:val="002F33F5"/>
    <w:rsid w:val="003229F3"/>
    <w:rsid w:val="00354D8A"/>
    <w:rsid w:val="00374FE0"/>
    <w:rsid w:val="00383E78"/>
    <w:rsid w:val="003A28D8"/>
    <w:rsid w:val="003A66A7"/>
    <w:rsid w:val="003B53CE"/>
    <w:rsid w:val="003C3506"/>
    <w:rsid w:val="003D33B0"/>
    <w:rsid w:val="00426F1A"/>
    <w:rsid w:val="00437932"/>
    <w:rsid w:val="0045356B"/>
    <w:rsid w:val="00497D57"/>
    <w:rsid w:val="005103D7"/>
    <w:rsid w:val="0052723C"/>
    <w:rsid w:val="005316F4"/>
    <w:rsid w:val="00532260"/>
    <w:rsid w:val="005F1325"/>
    <w:rsid w:val="005F7CEF"/>
    <w:rsid w:val="00601A0F"/>
    <w:rsid w:val="0061264E"/>
    <w:rsid w:val="00620E7A"/>
    <w:rsid w:val="00622555"/>
    <w:rsid w:val="0067614E"/>
    <w:rsid w:val="006A0DD6"/>
    <w:rsid w:val="006E1698"/>
    <w:rsid w:val="006E44EF"/>
    <w:rsid w:val="006F0D36"/>
    <w:rsid w:val="007162C2"/>
    <w:rsid w:val="00724D5D"/>
    <w:rsid w:val="0077645E"/>
    <w:rsid w:val="00880AB9"/>
    <w:rsid w:val="008E30B4"/>
    <w:rsid w:val="00916534"/>
    <w:rsid w:val="009530FE"/>
    <w:rsid w:val="00982F2C"/>
    <w:rsid w:val="009C4B70"/>
    <w:rsid w:val="009D4673"/>
    <w:rsid w:val="009E0A23"/>
    <w:rsid w:val="009F5A4A"/>
    <w:rsid w:val="00A1067E"/>
    <w:rsid w:val="00A1277B"/>
    <w:rsid w:val="00A14498"/>
    <w:rsid w:val="00A267FC"/>
    <w:rsid w:val="00A36481"/>
    <w:rsid w:val="00A70052"/>
    <w:rsid w:val="00AA4D32"/>
    <w:rsid w:val="00AC585C"/>
    <w:rsid w:val="00AF6E00"/>
    <w:rsid w:val="00B067F1"/>
    <w:rsid w:val="00B82BFF"/>
    <w:rsid w:val="00B8433F"/>
    <w:rsid w:val="00B960D2"/>
    <w:rsid w:val="00BA669C"/>
    <w:rsid w:val="00BB7D42"/>
    <w:rsid w:val="00BC4945"/>
    <w:rsid w:val="00BD5295"/>
    <w:rsid w:val="00BE63BE"/>
    <w:rsid w:val="00BF0451"/>
    <w:rsid w:val="00BF5EB9"/>
    <w:rsid w:val="00C06C30"/>
    <w:rsid w:val="00C230A3"/>
    <w:rsid w:val="00CE74F9"/>
    <w:rsid w:val="00D1323A"/>
    <w:rsid w:val="00D3712B"/>
    <w:rsid w:val="00D427EF"/>
    <w:rsid w:val="00D61ED0"/>
    <w:rsid w:val="00DB2A0A"/>
    <w:rsid w:val="00DE6D2E"/>
    <w:rsid w:val="00DF2BE0"/>
    <w:rsid w:val="00DF7447"/>
    <w:rsid w:val="00E51195"/>
    <w:rsid w:val="00E51620"/>
    <w:rsid w:val="00E86646"/>
    <w:rsid w:val="00ED24AD"/>
    <w:rsid w:val="00EE4F0D"/>
    <w:rsid w:val="00EF2C41"/>
    <w:rsid w:val="00EF7B10"/>
    <w:rsid w:val="00F24057"/>
    <w:rsid w:val="00F539C4"/>
    <w:rsid w:val="00F63E59"/>
    <w:rsid w:val="00F65FFC"/>
    <w:rsid w:val="00FA5B5B"/>
    <w:rsid w:val="00FB14E9"/>
    <w:rsid w:val="00FC15D8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9E3"/>
  <w15:chartTrackingRefBased/>
  <w15:docId w15:val="{0FE297CC-CA2E-48D3-9394-17EE5640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C06C3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C0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2C6"/>
    <w:pPr>
      <w:ind w:left="720"/>
      <w:contextualSpacing/>
    </w:pPr>
  </w:style>
  <w:style w:type="paragraph" w:styleId="a5">
    <w:name w:val="Revision"/>
    <w:hidden/>
    <w:uiPriority w:val="99"/>
    <w:semiHidden/>
    <w:rsid w:val="00724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F16F-4B5C-45EE-961C-E6B9E76B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 Вадим Игоревич</dc:creator>
  <cp:keywords/>
  <dc:description/>
  <cp:lastModifiedBy>Именинник Елизавета Александровна</cp:lastModifiedBy>
  <cp:revision>27</cp:revision>
  <cp:lastPrinted>2025-11-26T08:35:00Z</cp:lastPrinted>
  <dcterms:created xsi:type="dcterms:W3CDTF">2025-05-19T08:20:00Z</dcterms:created>
  <dcterms:modified xsi:type="dcterms:W3CDTF">2025-11-28T11:54:00Z</dcterms:modified>
</cp:coreProperties>
</file>